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AC" w:rsidRDefault="00A00AAC" w:rsidP="009A2595">
      <w:pPr>
        <w:spacing w:after="200" w:line="276" w:lineRule="auto"/>
        <w:jc w:val="center"/>
        <w:rPr>
          <w:b/>
          <w:lang w:val="lt-LT"/>
        </w:rPr>
      </w:pPr>
      <w:r>
        <w:rPr>
          <w:noProof/>
          <w:lang w:val="lt-LT"/>
        </w:rPr>
        <w:drawing>
          <wp:inline distT="0" distB="0" distL="0" distR="0">
            <wp:extent cx="1838325" cy="1895475"/>
            <wp:effectExtent l="0" t="0" r="9525" b="9525"/>
            <wp:docPr id="1" name="Paveikslėlis 1" descr="PLB logotipas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B logotipas_s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AC" w:rsidRDefault="00A00AAC" w:rsidP="009A2595">
      <w:pPr>
        <w:spacing w:after="200" w:line="276" w:lineRule="auto"/>
        <w:jc w:val="center"/>
        <w:rPr>
          <w:b/>
          <w:lang w:val="lt-LT"/>
        </w:rPr>
      </w:pPr>
    </w:p>
    <w:p w:rsidR="00931F42" w:rsidRPr="00886BBD" w:rsidRDefault="00931F42" w:rsidP="009A2595">
      <w:pPr>
        <w:spacing w:after="200" w:line="276" w:lineRule="auto"/>
        <w:jc w:val="center"/>
        <w:rPr>
          <w:b/>
          <w:lang w:val="lt-LT"/>
        </w:rPr>
      </w:pPr>
      <w:r w:rsidRPr="00886BBD">
        <w:rPr>
          <w:b/>
          <w:lang w:val="lt-LT"/>
        </w:rPr>
        <w:t>PASAULIO LIETUVIŲ BENDRU</w:t>
      </w:r>
      <w:bookmarkStart w:id="0" w:name="_GoBack"/>
      <w:bookmarkEnd w:id="0"/>
      <w:r w:rsidRPr="00886BBD">
        <w:rPr>
          <w:b/>
          <w:lang w:val="lt-LT"/>
        </w:rPr>
        <w:t>OMENĖS XV SEIMO</w:t>
      </w:r>
    </w:p>
    <w:p w:rsidR="00931F42" w:rsidRPr="00886BBD" w:rsidRDefault="00931F42" w:rsidP="009A2595">
      <w:pPr>
        <w:spacing w:after="200" w:line="276" w:lineRule="auto"/>
        <w:jc w:val="center"/>
        <w:rPr>
          <w:b/>
          <w:lang w:val="lt-LT"/>
        </w:rPr>
      </w:pPr>
      <w:r w:rsidRPr="00886BBD">
        <w:rPr>
          <w:b/>
          <w:lang w:val="lt-LT"/>
        </w:rPr>
        <w:t>REZOLIUCIJA</w:t>
      </w:r>
    </w:p>
    <w:p w:rsidR="00931F42" w:rsidRPr="00886BBD" w:rsidRDefault="00372E47" w:rsidP="009A2595">
      <w:pPr>
        <w:spacing w:after="200" w:line="276" w:lineRule="auto"/>
        <w:jc w:val="center"/>
        <w:rPr>
          <w:b/>
          <w:lang w:val="lt-LT"/>
        </w:rPr>
      </w:pPr>
      <w:r w:rsidRPr="00886BBD">
        <w:rPr>
          <w:b/>
          <w:lang w:val="lt-LT"/>
        </w:rPr>
        <w:t>DĖL</w:t>
      </w:r>
      <w:r>
        <w:rPr>
          <w:b/>
          <w:lang w:val="lt-LT"/>
        </w:rPr>
        <w:t xml:space="preserve"> DVIGUBOS </w:t>
      </w:r>
      <w:r w:rsidRPr="00886BBD">
        <w:rPr>
          <w:b/>
          <w:lang w:val="lt-LT"/>
        </w:rPr>
        <w:t>PILIETYBĖS</w:t>
      </w:r>
    </w:p>
    <w:p w:rsidR="00931F42" w:rsidRPr="00886BBD" w:rsidRDefault="00931F42" w:rsidP="009A2595">
      <w:pPr>
        <w:spacing w:line="276" w:lineRule="auto"/>
        <w:jc w:val="center"/>
        <w:rPr>
          <w:lang w:val="lt-LT"/>
        </w:rPr>
      </w:pPr>
      <w:r w:rsidRPr="00886BBD">
        <w:rPr>
          <w:lang w:val="lt-LT"/>
        </w:rPr>
        <w:t>2015 m. liepos 17 d.</w:t>
      </w:r>
    </w:p>
    <w:p w:rsidR="00931F42" w:rsidRPr="00886BBD" w:rsidRDefault="00931F42" w:rsidP="009A2595">
      <w:pPr>
        <w:spacing w:line="276" w:lineRule="auto"/>
        <w:jc w:val="center"/>
        <w:rPr>
          <w:lang w:val="lt-LT"/>
        </w:rPr>
      </w:pPr>
      <w:r w:rsidRPr="00886BBD">
        <w:rPr>
          <w:lang w:val="lt-LT"/>
        </w:rPr>
        <w:t>Vilnius</w:t>
      </w:r>
    </w:p>
    <w:p w:rsidR="00931F42" w:rsidRPr="00886BBD" w:rsidRDefault="00931F42" w:rsidP="009A2595">
      <w:pPr>
        <w:spacing w:line="276" w:lineRule="auto"/>
        <w:jc w:val="center"/>
        <w:rPr>
          <w:lang w:val="lt-LT"/>
        </w:rPr>
      </w:pPr>
    </w:p>
    <w:p w:rsidR="00931F42" w:rsidRPr="00886BBD" w:rsidRDefault="00931F42" w:rsidP="009A2595">
      <w:pPr>
        <w:spacing w:line="276" w:lineRule="auto"/>
        <w:rPr>
          <w:lang w:val="lt-LT"/>
        </w:rPr>
      </w:pPr>
      <w:r w:rsidRPr="00886BBD">
        <w:rPr>
          <w:lang w:val="lt-LT"/>
        </w:rPr>
        <w:t>Pasaulio lietuvių bendruomenės Seimas</w:t>
      </w:r>
    </w:p>
    <w:p w:rsidR="00931F42" w:rsidRPr="00886BBD" w:rsidRDefault="00931F42" w:rsidP="009A2595">
      <w:pPr>
        <w:spacing w:line="276" w:lineRule="auto"/>
        <w:rPr>
          <w:lang w:val="lt-LT"/>
        </w:rPr>
      </w:pPr>
    </w:p>
    <w:p w:rsidR="00330913" w:rsidRPr="00886BBD" w:rsidRDefault="00516068" w:rsidP="00A00AAC">
      <w:pPr>
        <w:spacing w:line="276" w:lineRule="auto"/>
        <w:jc w:val="both"/>
        <w:rPr>
          <w:lang w:val="lt-LT"/>
        </w:rPr>
      </w:pPr>
      <w:r w:rsidRPr="00886BBD">
        <w:rPr>
          <w:i/>
          <w:lang w:val="lt-LT"/>
        </w:rPr>
        <w:t>atkreipdamas dėmesį</w:t>
      </w:r>
      <w:r w:rsidRPr="00886BBD">
        <w:rPr>
          <w:lang w:val="lt-LT"/>
        </w:rPr>
        <w:t xml:space="preserve">, kad </w:t>
      </w:r>
      <w:r w:rsidR="00FE6D82" w:rsidRPr="00886BBD">
        <w:rPr>
          <w:lang w:val="lt-LT"/>
        </w:rPr>
        <w:t>Konstitucinis t</w:t>
      </w:r>
      <w:r w:rsidRPr="00886BBD">
        <w:rPr>
          <w:lang w:val="lt-LT"/>
        </w:rPr>
        <w:t>eismas tris kartus – 2003, 2006 ir 2013 m. išaiškino, kad norint Lietuvoje įteisinti dvigubą pilietybę kitokiais negu „ypač retais, išimtinais“ atvejais, būtina keisti Konstitucijos 12 straipsnį</w:t>
      </w:r>
      <w:r w:rsidR="003065F3" w:rsidRPr="00886BBD">
        <w:rPr>
          <w:lang w:val="lt-LT"/>
        </w:rPr>
        <w:t>;</w:t>
      </w:r>
    </w:p>
    <w:p w:rsidR="003065F3" w:rsidRPr="00886BBD" w:rsidRDefault="003065F3" w:rsidP="00A00AAC">
      <w:pPr>
        <w:spacing w:line="276" w:lineRule="auto"/>
        <w:jc w:val="both"/>
        <w:rPr>
          <w:lang w:val="lt-LT"/>
        </w:rPr>
      </w:pPr>
    </w:p>
    <w:p w:rsidR="003065F3" w:rsidRPr="00886BBD" w:rsidRDefault="003065F3" w:rsidP="00A00AAC">
      <w:pPr>
        <w:spacing w:line="276" w:lineRule="auto"/>
        <w:jc w:val="both"/>
        <w:rPr>
          <w:lang w:val="lt-LT"/>
        </w:rPr>
      </w:pPr>
      <w:r w:rsidRPr="00886BBD">
        <w:rPr>
          <w:i/>
          <w:lang w:val="lt-LT"/>
        </w:rPr>
        <w:t>pripažindamas</w:t>
      </w:r>
      <w:r w:rsidRPr="00886BBD">
        <w:rPr>
          <w:lang w:val="lt-LT"/>
        </w:rPr>
        <w:t xml:space="preserve">, kad galutinį ir neskundžiamą sprendimą dėl įstatymų </w:t>
      </w:r>
      <w:r w:rsidR="00FE6D82" w:rsidRPr="00886BBD">
        <w:rPr>
          <w:lang w:val="lt-LT"/>
        </w:rPr>
        <w:t>atitikimo Konstitucijai priima Konstitucinis teismas, ir net nesutinkant su jo pozicija, jo sprendimais vadovautis privaloma;</w:t>
      </w:r>
    </w:p>
    <w:p w:rsidR="00FE6D82" w:rsidRPr="00886BBD" w:rsidRDefault="00FE6D82" w:rsidP="00A00AAC">
      <w:pPr>
        <w:spacing w:line="276" w:lineRule="auto"/>
        <w:jc w:val="both"/>
        <w:rPr>
          <w:lang w:val="lt-LT"/>
        </w:rPr>
      </w:pPr>
    </w:p>
    <w:p w:rsidR="001000A2" w:rsidRPr="00886BBD" w:rsidRDefault="001000A2" w:rsidP="00A00AAC">
      <w:pPr>
        <w:spacing w:line="276" w:lineRule="auto"/>
        <w:jc w:val="both"/>
        <w:rPr>
          <w:lang w:val="lt-LT"/>
        </w:rPr>
      </w:pPr>
      <w:r w:rsidRPr="00886BBD">
        <w:rPr>
          <w:i/>
          <w:lang w:val="lt-LT"/>
        </w:rPr>
        <w:t>pabrėždamas</w:t>
      </w:r>
      <w:r w:rsidRPr="00886BBD">
        <w:rPr>
          <w:lang w:val="lt-LT"/>
        </w:rPr>
        <w:t xml:space="preserve">, kad Referendumo įstatymo nuostata, pagal kurią referendume dėl Konstitucijos 12 straipsnio keitimo referendumo nuostatai </w:t>
      </w:r>
      <w:r w:rsidRPr="00886BBD">
        <w:rPr>
          <w:i/>
          <w:lang w:val="lt-LT"/>
        </w:rPr>
        <w:t>pritarti</w:t>
      </w:r>
      <w:r w:rsidRPr="00886BBD">
        <w:rPr>
          <w:lang w:val="lt-LT"/>
        </w:rPr>
        <w:t xml:space="preserve"> turėtų daugiau nei pusė visų balso teisę turinčių ir į rinkėjų sąrašus įtrauktų rinkėjų, yra pernelyg griežta ir stipriai sumažina galimybę surinkti reikalingą balsų kiekį;</w:t>
      </w:r>
    </w:p>
    <w:p w:rsidR="001000A2" w:rsidRPr="00886BBD" w:rsidRDefault="001000A2" w:rsidP="00A00AAC">
      <w:pPr>
        <w:spacing w:line="276" w:lineRule="auto"/>
        <w:jc w:val="both"/>
        <w:rPr>
          <w:lang w:val="lt-LT"/>
        </w:rPr>
      </w:pPr>
    </w:p>
    <w:p w:rsidR="001000A2" w:rsidRPr="00886BBD" w:rsidRDefault="001000A2" w:rsidP="00A00AAC">
      <w:pPr>
        <w:spacing w:line="276" w:lineRule="auto"/>
        <w:jc w:val="both"/>
        <w:rPr>
          <w:lang w:val="lt-LT"/>
        </w:rPr>
      </w:pPr>
      <w:r w:rsidRPr="00886BBD">
        <w:rPr>
          <w:i/>
          <w:lang w:val="lt-LT"/>
        </w:rPr>
        <w:t>atkreipdamas dėmesį</w:t>
      </w:r>
      <w:r w:rsidRPr="00886BBD">
        <w:rPr>
          <w:lang w:val="lt-LT"/>
        </w:rPr>
        <w:t>, kad galimybė balsuoti internetu užsienio lietuviams sudarytų palankias sąlygas dalyvauti balsavime dėl referendumo ir padidintų jo sėkmės tikimybę;</w:t>
      </w:r>
    </w:p>
    <w:p w:rsidR="001000A2" w:rsidRPr="00886BBD" w:rsidRDefault="001000A2" w:rsidP="00A00AAC">
      <w:pPr>
        <w:spacing w:line="276" w:lineRule="auto"/>
        <w:jc w:val="both"/>
        <w:rPr>
          <w:lang w:val="lt-LT"/>
        </w:rPr>
      </w:pPr>
    </w:p>
    <w:p w:rsidR="001000A2" w:rsidRPr="00886BBD" w:rsidRDefault="001000A2" w:rsidP="00A00AAC">
      <w:pPr>
        <w:spacing w:line="276" w:lineRule="auto"/>
        <w:jc w:val="both"/>
        <w:rPr>
          <w:lang w:val="lt-LT"/>
        </w:rPr>
      </w:pPr>
      <w:r w:rsidRPr="00886BBD">
        <w:rPr>
          <w:i/>
          <w:lang w:val="lt-LT"/>
        </w:rPr>
        <w:t>suprasdamas</w:t>
      </w:r>
      <w:r w:rsidRPr="00886BBD">
        <w:rPr>
          <w:lang w:val="lt-LT"/>
        </w:rPr>
        <w:t xml:space="preserve"> visų pagrindinių Lietuvos partijų paramos referendumui svarbą;</w:t>
      </w:r>
    </w:p>
    <w:p w:rsidR="001000A2" w:rsidRPr="00886BBD" w:rsidRDefault="001000A2" w:rsidP="00A00AAC">
      <w:pPr>
        <w:spacing w:line="276" w:lineRule="auto"/>
        <w:jc w:val="both"/>
        <w:rPr>
          <w:lang w:val="lt-LT"/>
        </w:rPr>
      </w:pPr>
    </w:p>
    <w:p w:rsidR="006369E4" w:rsidRPr="00886BBD" w:rsidRDefault="006369E4" w:rsidP="00A00AAC">
      <w:pPr>
        <w:spacing w:line="276" w:lineRule="auto"/>
        <w:jc w:val="both"/>
        <w:rPr>
          <w:lang w:val="lt-LT"/>
        </w:rPr>
      </w:pPr>
      <w:r w:rsidRPr="00886BBD">
        <w:rPr>
          <w:i/>
          <w:lang w:val="lt-LT"/>
        </w:rPr>
        <w:t>pripažindamas</w:t>
      </w:r>
      <w:r w:rsidRPr="00886BBD">
        <w:rPr>
          <w:lang w:val="lt-LT"/>
        </w:rPr>
        <w:t xml:space="preserve">, kad </w:t>
      </w:r>
      <w:r w:rsidR="00282A1B" w:rsidRPr="00886BBD">
        <w:rPr>
          <w:lang w:val="lt-LT"/>
        </w:rPr>
        <w:t xml:space="preserve">dėl aukštų dalyvavimo reikalavimų ir laiko trūkumo įgyvendinti plataus masto informacinę kampaniją, </w:t>
      </w:r>
      <w:r w:rsidR="00E917EE" w:rsidRPr="00886BBD">
        <w:rPr>
          <w:lang w:val="lt-LT"/>
        </w:rPr>
        <w:t xml:space="preserve">egzistuoja maža tikimybė, jog </w:t>
      </w:r>
      <w:r w:rsidR="00460FEA" w:rsidRPr="00886BBD">
        <w:rPr>
          <w:lang w:val="lt-LT"/>
        </w:rPr>
        <w:t>referendumas</w:t>
      </w:r>
      <w:r w:rsidR="00ED3917" w:rsidRPr="00886BBD">
        <w:rPr>
          <w:lang w:val="lt-LT"/>
        </w:rPr>
        <w:t xml:space="preserve"> įvyktų</w:t>
      </w:r>
      <w:r w:rsidR="00460FEA" w:rsidRPr="00886BBD">
        <w:rPr>
          <w:lang w:val="lt-LT"/>
        </w:rPr>
        <w:t>, jei būtų organizuojamas</w:t>
      </w:r>
      <w:r w:rsidR="00BC78B9" w:rsidRPr="00886BBD">
        <w:rPr>
          <w:lang w:val="lt-LT"/>
        </w:rPr>
        <w:t xml:space="preserve"> kartu su</w:t>
      </w:r>
      <w:r w:rsidR="00460FEA" w:rsidRPr="00886BBD">
        <w:rPr>
          <w:lang w:val="lt-LT"/>
        </w:rPr>
        <w:t xml:space="preserve"> </w:t>
      </w:r>
      <w:r w:rsidR="00BC78B9" w:rsidRPr="00886BBD">
        <w:rPr>
          <w:lang w:val="lt-LT"/>
        </w:rPr>
        <w:t>2016 m. Seimo rinkimais</w:t>
      </w:r>
      <w:r w:rsidR="001000A2" w:rsidRPr="00886BBD">
        <w:rPr>
          <w:lang w:val="lt-LT"/>
        </w:rPr>
        <w:t>:</w:t>
      </w:r>
    </w:p>
    <w:p w:rsidR="00330913" w:rsidRPr="00886BBD" w:rsidRDefault="00330913" w:rsidP="00A00AAC">
      <w:pPr>
        <w:spacing w:line="276" w:lineRule="auto"/>
        <w:jc w:val="both"/>
        <w:rPr>
          <w:lang w:val="lt-LT"/>
        </w:rPr>
      </w:pPr>
    </w:p>
    <w:p w:rsidR="00FE6D82" w:rsidRPr="00886BBD" w:rsidRDefault="00FE6D82" w:rsidP="00A00AAC">
      <w:pPr>
        <w:spacing w:line="276" w:lineRule="auto"/>
        <w:jc w:val="both"/>
        <w:rPr>
          <w:lang w:val="lt-LT"/>
        </w:rPr>
      </w:pPr>
    </w:p>
    <w:p w:rsidR="00031B02" w:rsidRPr="00886BBD" w:rsidRDefault="00031B02" w:rsidP="00A00AAC">
      <w:pPr>
        <w:spacing w:line="276" w:lineRule="auto"/>
        <w:jc w:val="both"/>
        <w:rPr>
          <w:lang w:val="lt-LT"/>
        </w:rPr>
      </w:pPr>
      <w:r w:rsidRPr="00886BBD">
        <w:rPr>
          <w:b/>
          <w:lang w:val="lt-LT"/>
        </w:rPr>
        <w:lastRenderedPageBreak/>
        <w:t>skatina</w:t>
      </w:r>
      <w:r w:rsidRPr="00886BBD">
        <w:rPr>
          <w:lang w:val="lt-LT"/>
        </w:rPr>
        <w:t xml:space="preserve"> visas pagrindines Lietuvos partijas sutarti dėl </w:t>
      </w:r>
      <w:r w:rsidR="009C4019" w:rsidRPr="00886BBD">
        <w:rPr>
          <w:lang w:val="lt-LT"/>
        </w:rPr>
        <w:t xml:space="preserve">Konstitucijos 12 straipsnio keitimo </w:t>
      </w:r>
      <w:r w:rsidR="00E549F9" w:rsidRPr="00886BBD">
        <w:rPr>
          <w:lang w:val="lt-LT"/>
        </w:rPr>
        <w:t xml:space="preserve">referendumu </w:t>
      </w:r>
      <w:r w:rsidR="009C4019" w:rsidRPr="00886BBD">
        <w:rPr>
          <w:lang w:val="lt-LT"/>
        </w:rPr>
        <w:t>būtinybės</w:t>
      </w:r>
      <w:r w:rsidRPr="00886BBD">
        <w:rPr>
          <w:lang w:val="lt-LT"/>
        </w:rPr>
        <w:t xml:space="preserve"> kaip valstybinio intereso</w:t>
      </w:r>
      <w:r w:rsidR="00FC5662" w:rsidRPr="00886BBD">
        <w:rPr>
          <w:lang w:val="lt-LT"/>
        </w:rPr>
        <w:t>, susitarti dėl konkrečios referendumo formuluotės</w:t>
      </w:r>
      <w:r w:rsidRPr="00886BBD">
        <w:rPr>
          <w:lang w:val="lt-LT"/>
        </w:rPr>
        <w:t xml:space="preserve"> ir užtikrinti </w:t>
      </w:r>
      <w:r w:rsidR="00743064" w:rsidRPr="00886BBD">
        <w:rPr>
          <w:lang w:val="lt-LT"/>
        </w:rPr>
        <w:t xml:space="preserve">visų </w:t>
      </w:r>
      <w:r w:rsidR="00BB112C" w:rsidRPr="00886BBD">
        <w:rPr>
          <w:lang w:val="lt-LT"/>
        </w:rPr>
        <w:t xml:space="preserve">pagrindinių </w:t>
      </w:r>
      <w:r w:rsidR="00743064" w:rsidRPr="00886BBD">
        <w:rPr>
          <w:lang w:val="lt-LT"/>
        </w:rPr>
        <w:t>partijų</w:t>
      </w:r>
      <w:r w:rsidRPr="00886BBD">
        <w:rPr>
          <w:lang w:val="lt-LT"/>
        </w:rPr>
        <w:t xml:space="preserve"> palaikymą šiai </w:t>
      </w:r>
      <w:r w:rsidR="009A12AE" w:rsidRPr="00886BBD">
        <w:rPr>
          <w:lang w:val="lt-LT"/>
        </w:rPr>
        <w:t>iniciatyvai</w:t>
      </w:r>
      <w:r w:rsidRPr="00886BBD">
        <w:rPr>
          <w:lang w:val="lt-LT"/>
        </w:rPr>
        <w:t xml:space="preserve"> referendumo agitacijos metu</w:t>
      </w:r>
      <w:r w:rsidR="0044671A" w:rsidRPr="00886BBD">
        <w:rPr>
          <w:lang w:val="lt-LT"/>
        </w:rPr>
        <w:t>;</w:t>
      </w:r>
    </w:p>
    <w:p w:rsidR="00A00AAC" w:rsidRDefault="00A00AAC" w:rsidP="00A00AAC">
      <w:pPr>
        <w:spacing w:line="276" w:lineRule="auto"/>
        <w:jc w:val="both"/>
        <w:rPr>
          <w:b/>
          <w:lang w:val="lt-LT"/>
        </w:rPr>
      </w:pPr>
    </w:p>
    <w:p w:rsidR="00790CDA" w:rsidRPr="00886BBD" w:rsidRDefault="00790CDA" w:rsidP="00A00AAC">
      <w:pPr>
        <w:spacing w:line="276" w:lineRule="auto"/>
        <w:jc w:val="both"/>
        <w:rPr>
          <w:lang w:val="lt-LT"/>
        </w:rPr>
      </w:pPr>
      <w:r w:rsidRPr="00886BBD">
        <w:rPr>
          <w:b/>
          <w:lang w:val="lt-LT"/>
        </w:rPr>
        <w:t>ragina</w:t>
      </w:r>
      <w:r w:rsidRPr="00886BBD">
        <w:rPr>
          <w:lang w:val="lt-LT"/>
        </w:rPr>
        <w:t xml:space="preserve"> sudaryti galimybę už referendumo nuostatas</w:t>
      </w:r>
      <w:r w:rsidR="0044671A" w:rsidRPr="00886BBD">
        <w:rPr>
          <w:lang w:val="lt-LT"/>
        </w:rPr>
        <w:t xml:space="preserve"> užsienio lietuviams</w:t>
      </w:r>
      <w:r w:rsidRPr="00886BBD">
        <w:rPr>
          <w:lang w:val="lt-LT"/>
        </w:rPr>
        <w:t xml:space="preserve"> balsuoti internetu;</w:t>
      </w:r>
    </w:p>
    <w:p w:rsidR="00031B02" w:rsidRPr="00886BBD" w:rsidRDefault="00031B02" w:rsidP="00A00AAC">
      <w:pPr>
        <w:spacing w:line="276" w:lineRule="auto"/>
        <w:jc w:val="both"/>
        <w:rPr>
          <w:lang w:val="lt-LT"/>
        </w:rPr>
      </w:pPr>
    </w:p>
    <w:p w:rsidR="00E34509" w:rsidRPr="00886BBD" w:rsidRDefault="00704F2A" w:rsidP="00A00AAC">
      <w:pPr>
        <w:spacing w:line="276" w:lineRule="auto"/>
        <w:jc w:val="both"/>
        <w:rPr>
          <w:lang w:val="lt-LT"/>
        </w:rPr>
      </w:pPr>
      <w:r w:rsidRPr="00886BBD">
        <w:rPr>
          <w:b/>
          <w:lang w:val="lt-LT"/>
        </w:rPr>
        <w:t>ragina</w:t>
      </w:r>
      <w:r w:rsidRPr="00886BBD">
        <w:rPr>
          <w:lang w:val="lt-LT"/>
        </w:rPr>
        <w:t xml:space="preserve"> LR Seimą pakeisti Referendumo įstatymą, sudarant galimybes Konstitucijos 12 straipsnio pakeitimą referendume priimti įprasta referendumo nuostatų priėmimo tvarka, t.y. </w:t>
      </w:r>
      <w:r w:rsidR="005028C6" w:rsidRPr="00886BBD">
        <w:rPr>
          <w:lang w:val="lt-LT"/>
        </w:rPr>
        <w:t>pritarus</w:t>
      </w:r>
      <w:r w:rsidR="005062A7" w:rsidRPr="00886BBD">
        <w:rPr>
          <w:lang w:val="lt-LT"/>
        </w:rPr>
        <w:t xml:space="preserve"> </w:t>
      </w:r>
      <w:r w:rsidRPr="00886BBD">
        <w:rPr>
          <w:lang w:val="lt-LT"/>
        </w:rPr>
        <w:t xml:space="preserve">daugiau </w:t>
      </w:r>
      <w:r w:rsidR="005062A7" w:rsidRPr="00886BBD">
        <w:rPr>
          <w:lang w:val="lt-LT"/>
        </w:rPr>
        <w:t>kaip</w:t>
      </w:r>
      <w:r w:rsidRPr="00886BBD">
        <w:rPr>
          <w:lang w:val="lt-LT"/>
        </w:rPr>
        <w:t xml:space="preserve"> </w:t>
      </w:r>
      <w:r w:rsidR="006833B8" w:rsidRPr="00886BBD">
        <w:rPr>
          <w:lang w:val="lt-LT"/>
        </w:rPr>
        <w:t>pusei</w:t>
      </w:r>
      <w:r w:rsidR="00C21492" w:rsidRPr="00886BBD">
        <w:rPr>
          <w:lang w:val="lt-LT"/>
        </w:rPr>
        <w:t xml:space="preserve"> piliečių, dalyvavusių referendume</w:t>
      </w:r>
      <w:r w:rsidRPr="00886BBD">
        <w:rPr>
          <w:lang w:val="lt-LT"/>
        </w:rPr>
        <w:t xml:space="preserve">, bet ne mažiau nei 1/3 </w:t>
      </w:r>
      <w:r w:rsidR="00641943" w:rsidRPr="00886BBD">
        <w:rPr>
          <w:lang w:val="lt-LT"/>
        </w:rPr>
        <w:t xml:space="preserve">piliečių, turinčių </w:t>
      </w:r>
      <w:r w:rsidRPr="00886BBD">
        <w:rPr>
          <w:lang w:val="lt-LT"/>
        </w:rPr>
        <w:t xml:space="preserve">rinkimų </w:t>
      </w:r>
      <w:r w:rsidR="00641943" w:rsidRPr="00886BBD">
        <w:rPr>
          <w:lang w:val="lt-LT"/>
        </w:rPr>
        <w:t>teisę ir įrašytų į rinkėjų sąrašus.</w:t>
      </w:r>
    </w:p>
    <w:p w:rsidR="00FD6812" w:rsidRPr="00886BBD" w:rsidRDefault="00FD6812" w:rsidP="00A00AAC">
      <w:pPr>
        <w:spacing w:line="276" w:lineRule="auto"/>
        <w:jc w:val="both"/>
        <w:rPr>
          <w:lang w:val="lt-LT"/>
        </w:rPr>
      </w:pPr>
    </w:p>
    <w:p w:rsidR="00931F42" w:rsidRPr="00886BBD" w:rsidRDefault="00AD2A4B" w:rsidP="00A00AAC">
      <w:pPr>
        <w:spacing w:line="276" w:lineRule="auto"/>
        <w:jc w:val="both"/>
        <w:rPr>
          <w:lang w:val="lt-LT"/>
        </w:rPr>
      </w:pPr>
      <w:r w:rsidRPr="00886BBD">
        <w:rPr>
          <w:b/>
          <w:lang w:val="lt-LT"/>
        </w:rPr>
        <w:t xml:space="preserve">pritaria ir </w:t>
      </w:r>
      <w:r w:rsidR="00BC0856" w:rsidRPr="00886BBD">
        <w:rPr>
          <w:b/>
          <w:lang w:val="lt-LT"/>
        </w:rPr>
        <w:t>skatina</w:t>
      </w:r>
      <w:r w:rsidR="00931F42" w:rsidRPr="00886BBD">
        <w:rPr>
          <w:lang w:val="lt-LT"/>
        </w:rPr>
        <w:t xml:space="preserve"> </w:t>
      </w:r>
      <w:r w:rsidR="00FF4C77" w:rsidRPr="00886BBD">
        <w:rPr>
          <w:lang w:val="lt-LT"/>
        </w:rPr>
        <w:t xml:space="preserve">Lietuvos partijas </w:t>
      </w:r>
      <w:r w:rsidR="00931F42" w:rsidRPr="00886BBD">
        <w:rPr>
          <w:lang w:val="lt-LT"/>
        </w:rPr>
        <w:t>surengti referendumą kartu su 2016 m. Seimo rinkimais</w:t>
      </w:r>
      <w:r w:rsidR="00FB59EC" w:rsidRPr="00C95EB0">
        <w:rPr>
          <w:b/>
          <w:lang w:val="lt-LT"/>
        </w:rPr>
        <w:t xml:space="preserve"> </w:t>
      </w:r>
      <w:r w:rsidR="00FB59EC" w:rsidRPr="00C95EB0">
        <w:rPr>
          <w:b/>
          <w:i/>
          <w:lang w:val="lt-LT"/>
        </w:rPr>
        <w:t>tik</w:t>
      </w:r>
      <w:r w:rsidR="00FF4C77" w:rsidRPr="00C95EB0">
        <w:rPr>
          <w:b/>
          <w:lang w:val="lt-LT"/>
        </w:rPr>
        <w:t xml:space="preserve"> jei ligi to laiko </w:t>
      </w:r>
      <w:r w:rsidR="00A4503A" w:rsidRPr="00C95EB0">
        <w:rPr>
          <w:b/>
          <w:lang w:val="lt-LT"/>
        </w:rPr>
        <w:t xml:space="preserve">bus </w:t>
      </w:r>
      <w:r w:rsidR="00BD40C2" w:rsidRPr="00C95EB0">
        <w:rPr>
          <w:b/>
          <w:lang w:val="lt-LT"/>
        </w:rPr>
        <w:t>įgyvendintos</w:t>
      </w:r>
      <w:r w:rsidR="006D5BF4" w:rsidRPr="00C95EB0">
        <w:rPr>
          <w:b/>
          <w:lang w:val="lt-LT"/>
        </w:rPr>
        <w:t xml:space="preserve"> visos</w:t>
      </w:r>
      <w:r w:rsidR="00BD40C2" w:rsidRPr="00C95EB0">
        <w:rPr>
          <w:b/>
          <w:lang w:val="lt-LT"/>
        </w:rPr>
        <w:t xml:space="preserve"> trys aukščiau </w:t>
      </w:r>
      <w:r w:rsidR="005C7186" w:rsidRPr="00C95EB0">
        <w:rPr>
          <w:b/>
          <w:lang w:val="lt-LT"/>
        </w:rPr>
        <w:t>įvardintos</w:t>
      </w:r>
      <w:r w:rsidR="00BD40C2" w:rsidRPr="00C95EB0">
        <w:rPr>
          <w:b/>
          <w:lang w:val="lt-LT"/>
        </w:rPr>
        <w:t xml:space="preserve"> </w:t>
      </w:r>
      <w:r w:rsidR="00D265CC" w:rsidRPr="00C95EB0">
        <w:rPr>
          <w:b/>
          <w:lang w:val="lt-LT"/>
        </w:rPr>
        <w:t>sąlygos</w:t>
      </w:r>
      <w:r w:rsidR="005C7186" w:rsidRPr="00C95EB0">
        <w:rPr>
          <w:b/>
          <w:lang w:val="lt-LT"/>
        </w:rPr>
        <w:t xml:space="preserve"> dėl partijų sutarimo, balsavimo internetu ir Referendumo įstatymo pakeitimo</w:t>
      </w:r>
      <w:r w:rsidR="00D265CC" w:rsidRPr="00886BBD">
        <w:rPr>
          <w:lang w:val="lt-LT"/>
        </w:rPr>
        <w:t>;</w:t>
      </w:r>
    </w:p>
    <w:p w:rsidR="00FF4C77" w:rsidRPr="00886BBD" w:rsidRDefault="00FF4C77" w:rsidP="00A00AAC">
      <w:pPr>
        <w:spacing w:line="276" w:lineRule="auto"/>
        <w:jc w:val="both"/>
        <w:rPr>
          <w:lang w:val="lt-LT"/>
        </w:rPr>
      </w:pPr>
    </w:p>
    <w:p w:rsidR="00E34509" w:rsidRPr="00886BBD" w:rsidRDefault="00A4503A" w:rsidP="00A00AAC">
      <w:pPr>
        <w:spacing w:line="276" w:lineRule="auto"/>
        <w:jc w:val="both"/>
        <w:rPr>
          <w:lang w:val="lt-LT"/>
        </w:rPr>
      </w:pPr>
      <w:r w:rsidRPr="00886BBD">
        <w:rPr>
          <w:b/>
          <w:lang w:val="lt-LT"/>
        </w:rPr>
        <w:t>pabrėžia</w:t>
      </w:r>
      <w:r w:rsidRPr="00886BBD">
        <w:rPr>
          <w:lang w:val="lt-LT"/>
        </w:rPr>
        <w:t xml:space="preserve">, kad </w:t>
      </w:r>
      <w:r w:rsidR="00524AB4" w:rsidRPr="00886BBD">
        <w:rPr>
          <w:lang w:val="lt-LT"/>
        </w:rPr>
        <w:t xml:space="preserve">neįgyvendinus </w:t>
      </w:r>
      <w:r w:rsidR="00931F42" w:rsidRPr="00886BBD">
        <w:rPr>
          <w:lang w:val="lt-LT"/>
        </w:rPr>
        <w:t xml:space="preserve">šių sąlygų, </w:t>
      </w:r>
      <w:r w:rsidRPr="00886BBD">
        <w:rPr>
          <w:lang w:val="lt-LT"/>
        </w:rPr>
        <w:t>referendumas turėtų būti rengiamas</w:t>
      </w:r>
      <w:r w:rsidR="00931F42" w:rsidRPr="00886BBD">
        <w:rPr>
          <w:lang w:val="lt-LT"/>
        </w:rPr>
        <w:t xml:space="preserve"> </w:t>
      </w:r>
      <w:r w:rsidR="0032774F" w:rsidRPr="00886BBD">
        <w:rPr>
          <w:lang w:val="lt-LT"/>
        </w:rPr>
        <w:t xml:space="preserve">ne anksčiau kaip </w:t>
      </w:r>
      <w:r w:rsidR="00931F42" w:rsidRPr="00886BBD">
        <w:rPr>
          <w:lang w:val="lt-LT"/>
        </w:rPr>
        <w:t>2019 m.</w:t>
      </w:r>
      <w:r w:rsidR="0007038D" w:rsidRPr="00886BBD">
        <w:rPr>
          <w:lang w:val="lt-LT"/>
        </w:rPr>
        <w:t xml:space="preserve"> kartu savivaldybių tarybų arba Prezidento rinkimais</w:t>
      </w:r>
      <w:r w:rsidR="00F32536" w:rsidRPr="00886BBD">
        <w:rPr>
          <w:lang w:val="lt-LT"/>
        </w:rPr>
        <w:t>;</w:t>
      </w:r>
    </w:p>
    <w:p w:rsidR="00330913" w:rsidRPr="00886BBD" w:rsidRDefault="00330913" w:rsidP="00A00AAC">
      <w:pPr>
        <w:spacing w:line="276" w:lineRule="auto"/>
        <w:jc w:val="both"/>
        <w:rPr>
          <w:lang w:val="lt-LT"/>
        </w:rPr>
      </w:pPr>
    </w:p>
    <w:p w:rsidR="00364DF8" w:rsidRPr="00886BBD" w:rsidRDefault="00330913" w:rsidP="00A00AAC">
      <w:pPr>
        <w:spacing w:line="276" w:lineRule="auto"/>
        <w:jc w:val="both"/>
        <w:rPr>
          <w:lang w:val="lt-LT"/>
        </w:rPr>
      </w:pPr>
      <w:r w:rsidRPr="00886BBD">
        <w:rPr>
          <w:b/>
          <w:lang w:val="lt-LT"/>
        </w:rPr>
        <w:t>ragina</w:t>
      </w:r>
      <w:r w:rsidRPr="00886BBD">
        <w:rPr>
          <w:lang w:val="lt-LT"/>
        </w:rPr>
        <w:t xml:space="preserve"> </w:t>
      </w:r>
      <w:r w:rsidR="00CB1922" w:rsidRPr="00886BBD">
        <w:rPr>
          <w:lang w:val="lt-LT"/>
        </w:rPr>
        <w:t>LR</w:t>
      </w:r>
      <w:r w:rsidR="00173FBC" w:rsidRPr="00886BBD">
        <w:rPr>
          <w:lang w:val="lt-LT"/>
        </w:rPr>
        <w:t xml:space="preserve"> </w:t>
      </w:r>
      <w:r w:rsidRPr="00886BBD">
        <w:rPr>
          <w:lang w:val="lt-LT"/>
        </w:rPr>
        <w:t>Seimą</w:t>
      </w:r>
      <w:r w:rsidR="00CB1922" w:rsidRPr="00886BBD">
        <w:rPr>
          <w:lang w:val="lt-LT"/>
        </w:rPr>
        <w:t xml:space="preserve"> iki prasidedant referendumo agitaciniam periodui</w:t>
      </w:r>
      <w:r w:rsidR="00173FBC" w:rsidRPr="00886BBD">
        <w:rPr>
          <w:lang w:val="lt-LT"/>
        </w:rPr>
        <w:t xml:space="preserve"> parengti ir priimti susitarimą dėl būsimo </w:t>
      </w:r>
      <w:r w:rsidR="00CD580B" w:rsidRPr="00886BBD">
        <w:rPr>
          <w:lang w:val="lt-LT"/>
        </w:rPr>
        <w:t>Pilietybės įstatymo</w:t>
      </w:r>
      <w:r w:rsidR="009B4596" w:rsidRPr="00886BBD">
        <w:rPr>
          <w:lang w:val="lt-LT"/>
        </w:rPr>
        <w:t xml:space="preserve"> nuostatų, </w:t>
      </w:r>
      <w:r w:rsidR="00EF5199" w:rsidRPr="00886BBD">
        <w:rPr>
          <w:lang w:val="lt-LT"/>
        </w:rPr>
        <w:t>kuriame būtų nurodyta, kaip ir kokiomis sąlygomis bus įgyvendinamas teisės į dvigubą pilietybę suteikimas ir</w:t>
      </w:r>
      <w:r w:rsidR="00D32FE1" w:rsidRPr="00886BBD">
        <w:rPr>
          <w:lang w:val="lt-LT"/>
        </w:rPr>
        <w:t xml:space="preserve"> kokiomis priemonėmis bus suvaldoma rizika, susijusi </w:t>
      </w:r>
      <w:r w:rsidR="009C5FF1" w:rsidRPr="00886BBD">
        <w:rPr>
          <w:lang w:val="lt-LT"/>
        </w:rPr>
        <w:t>su Rusijos valstybės vykdoma priešiška politika Baltijos valstybių atžvilgiu</w:t>
      </w:r>
      <w:r w:rsidR="00886BBD" w:rsidRPr="00886BBD">
        <w:rPr>
          <w:lang w:val="lt-LT"/>
        </w:rPr>
        <w:t>. Ši</w:t>
      </w:r>
      <w:r w:rsidR="00886BBD">
        <w:rPr>
          <w:lang w:val="lt-LT"/>
        </w:rPr>
        <w:t>oms</w:t>
      </w:r>
      <w:r w:rsidR="00886BBD" w:rsidRPr="00886BBD">
        <w:rPr>
          <w:lang w:val="lt-LT"/>
        </w:rPr>
        <w:t xml:space="preserve"> Pilietybės įstatymo nuosta</w:t>
      </w:r>
      <w:r w:rsidR="00886BBD">
        <w:rPr>
          <w:lang w:val="lt-LT"/>
        </w:rPr>
        <w:t xml:space="preserve">toms </w:t>
      </w:r>
      <w:r w:rsidR="005F2EE1" w:rsidRPr="00886BBD">
        <w:rPr>
          <w:lang w:val="lt-LT"/>
        </w:rPr>
        <w:t>turėtų pritarti visos pagrindinės Lietuvos partijos.</w:t>
      </w:r>
    </w:p>
    <w:p w:rsidR="00364DF8" w:rsidRPr="00886BBD" w:rsidRDefault="00364DF8" w:rsidP="00A00AAC">
      <w:pPr>
        <w:spacing w:line="276" w:lineRule="auto"/>
        <w:jc w:val="both"/>
        <w:rPr>
          <w:lang w:val="lt-LT"/>
        </w:rPr>
      </w:pPr>
    </w:p>
    <w:p w:rsidR="00CA6C23" w:rsidRPr="00886BBD" w:rsidRDefault="00CA6C23" w:rsidP="009A2595">
      <w:pPr>
        <w:spacing w:line="276" w:lineRule="auto"/>
        <w:rPr>
          <w:lang w:val="lt-LT"/>
        </w:rPr>
      </w:pPr>
    </w:p>
    <w:p w:rsidR="00372E47" w:rsidRPr="00372E47" w:rsidRDefault="00372E47" w:rsidP="00372E47">
      <w:pPr>
        <w:spacing w:line="320" w:lineRule="atLeast"/>
        <w:jc w:val="both"/>
        <w:rPr>
          <w:lang w:val="lt-LT"/>
        </w:rPr>
      </w:pPr>
      <w:r w:rsidRPr="00372E47">
        <w:rPr>
          <w:lang w:val="lt-LT"/>
        </w:rPr>
        <w:t>Pasaulio Lietuvių Bendruomenės Seimo                              Pasaulio Lietuvių Bendruomenės Seimo</w:t>
      </w:r>
    </w:p>
    <w:p w:rsidR="00372E47" w:rsidRPr="00372E47" w:rsidRDefault="00372E47" w:rsidP="00372E47">
      <w:pPr>
        <w:spacing w:line="320" w:lineRule="atLeast"/>
        <w:jc w:val="both"/>
        <w:rPr>
          <w:lang w:val="lt-LT"/>
        </w:rPr>
      </w:pPr>
      <w:r w:rsidRPr="00372E47">
        <w:rPr>
          <w:lang w:val="lt-LT"/>
        </w:rPr>
        <w:t>Prezidiumo pirmininkė</w:t>
      </w:r>
      <w:r w:rsidRPr="00372E47">
        <w:rPr>
          <w:lang w:val="lt-LT"/>
        </w:rPr>
        <w:tab/>
      </w:r>
      <w:r w:rsidRPr="00372E47">
        <w:rPr>
          <w:lang w:val="lt-LT"/>
        </w:rPr>
        <w:tab/>
      </w:r>
      <w:r w:rsidRPr="00372E47">
        <w:rPr>
          <w:lang w:val="lt-LT"/>
        </w:rPr>
        <w:tab/>
        <w:t xml:space="preserve">        Nutarimų komisijos pirmininkas</w:t>
      </w:r>
    </w:p>
    <w:p w:rsidR="00372E47" w:rsidRPr="00372E47" w:rsidRDefault="00372E47" w:rsidP="00372E47">
      <w:pPr>
        <w:tabs>
          <w:tab w:val="left" w:pos="5740"/>
        </w:tabs>
        <w:spacing w:line="320" w:lineRule="atLeast"/>
        <w:jc w:val="both"/>
        <w:rPr>
          <w:lang w:val="lt-LT"/>
        </w:rPr>
      </w:pPr>
      <w:r w:rsidRPr="00372E47">
        <w:rPr>
          <w:lang w:val="lt-LT"/>
        </w:rPr>
        <w:t>Regina Narušienė</w:t>
      </w:r>
      <w:r w:rsidRPr="00372E47">
        <w:rPr>
          <w:lang w:val="lt-LT"/>
        </w:rPr>
        <w:tab/>
        <w:t>Romas Cibas</w:t>
      </w:r>
    </w:p>
    <w:p w:rsidR="00372E47" w:rsidRPr="00372E47" w:rsidRDefault="00372E47" w:rsidP="00372E47">
      <w:pPr>
        <w:spacing w:line="320" w:lineRule="atLeast"/>
        <w:jc w:val="both"/>
        <w:rPr>
          <w:lang w:val="lt-LT"/>
        </w:rPr>
      </w:pPr>
    </w:p>
    <w:p w:rsidR="00372E47" w:rsidRPr="00372E47" w:rsidRDefault="00372E47" w:rsidP="00372E47">
      <w:pPr>
        <w:spacing w:line="320" w:lineRule="atLeast"/>
        <w:jc w:val="both"/>
        <w:rPr>
          <w:lang w:val="lt-LT"/>
        </w:rPr>
      </w:pPr>
    </w:p>
    <w:p w:rsidR="00372E47" w:rsidRPr="00372E47" w:rsidRDefault="00372E47" w:rsidP="00372E47">
      <w:pPr>
        <w:spacing w:line="320" w:lineRule="atLeast"/>
        <w:jc w:val="both"/>
        <w:rPr>
          <w:lang w:val="lt-LT"/>
        </w:rPr>
      </w:pPr>
    </w:p>
    <w:p w:rsidR="00372E47" w:rsidRPr="00372E47" w:rsidRDefault="00372E47" w:rsidP="00372E47">
      <w:pPr>
        <w:tabs>
          <w:tab w:val="left" w:pos="5880"/>
        </w:tabs>
        <w:spacing w:line="320" w:lineRule="atLeast"/>
        <w:jc w:val="both"/>
        <w:rPr>
          <w:lang w:val="lt-LT"/>
        </w:rPr>
      </w:pPr>
      <w:r w:rsidRPr="00372E47">
        <w:rPr>
          <w:lang w:val="lt-LT"/>
        </w:rPr>
        <w:t>..........................................................                                    ..........................................................</w:t>
      </w:r>
    </w:p>
    <w:p w:rsidR="00BA40E6" w:rsidRPr="00886BBD" w:rsidRDefault="00BA40E6" w:rsidP="009A2595">
      <w:pPr>
        <w:spacing w:line="276" w:lineRule="auto"/>
        <w:rPr>
          <w:lang w:val="lt-LT"/>
        </w:rPr>
      </w:pPr>
    </w:p>
    <w:p w:rsidR="00F9772E" w:rsidRPr="00886BBD" w:rsidRDefault="00F9772E" w:rsidP="009A2595">
      <w:pPr>
        <w:spacing w:line="276" w:lineRule="auto"/>
        <w:rPr>
          <w:lang w:val="lt-LT"/>
        </w:rPr>
      </w:pPr>
    </w:p>
    <w:sectPr w:rsidR="00F9772E" w:rsidRPr="00886BBD" w:rsidSect="009B2D07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68BF"/>
    <w:multiLevelType w:val="hybridMultilevel"/>
    <w:tmpl w:val="19DC9428"/>
    <w:lvl w:ilvl="0" w:tplc="42FC21F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21"/>
    <w:rsid w:val="00031B02"/>
    <w:rsid w:val="000608BB"/>
    <w:rsid w:val="0007038D"/>
    <w:rsid w:val="000E48E7"/>
    <w:rsid w:val="000F7490"/>
    <w:rsid w:val="001000A2"/>
    <w:rsid w:val="001469D7"/>
    <w:rsid w:val="0015605B"/>
    <w:rsid w:val="00173FBC"/>
    <w:rsid w:val="001C3143"/>
    <w:rsid w:val="001C7CBA"/>
    <w:rsid w:val="0027165C"/>
    <w:rsid w:val="00277371"/>
    <w:rsid w:val="00282A1B"/>
    <w:rsid w:val="003040F4"/>
    <w:rsid w:val="003065F3"/>
    <w:rsid w:val="003250EB"/>
    <w:rsid w:val="0032774F"/>
    <w:rsid w:val="00330913"/>
    <w:rsid w:val="00355E24"/>
    <w:rsid w:val="00364DF8"/>
    <w:rsid w:val="00372E47"/>
    <w:rsid w:val="003832A9"/>
    <w:rsid w:val="003E6330"/>
    <w:rsid w:val="00431352"/>
    <w:rsid w:val="0044671A"/>
    <w:rsid w:val="00460FEA"/>
    <w:rsid w:val="004648A9"/>
    <w:rsid w:val="004D2FFA"/>
    <w:rsid w:val="005028C6"/>
    <w:rsid w:val="005062A7"/>
    <w:rsid w:val="00516068"/>
    <w:rsid w:val="00524AB4"/>
    <w:rsid w:val="0052503D"/>
    <w:rsid w:val="00544400"/>
    <w:rsid w:val="005C7186"/>
    <w:rsid w:val="005E47AC"/>
    <w:rsid w:val="005F2EE1"/>
    <w:rsid w:val="005F5A63"/>
    <w:rsid w:val="0060638B"/>
    <w:rsid w:val="006369E4"/>
    <w:rsid w:val="00641943"/>
    <w:rsid w:val="006833B8"/>
    <w:rsid w:val="006B2FBF"/>
    <w:rsid w:val="006C339D"/>
    <w:rsid w:val="006D5BF4"/>
    <w:rsid w:val="00704F2A"/>
    <w:rsid w:val="00710F56"/>
    <w:rsid w:val="00735651"/>
    <w:rsid w:val="00743064"/>
    <w:rsid w:val="00790CDA"/>
    <w:rsid w:val="008545AA"/>
    <w:rsid w:val="00886BBD"/>
    <w:rsid w:val="0091523D"/>
    <w:rsid w:val="00931F42"/>
    <w:rsid w:val="009A12AE"/>
    <w:rsid w:val="009A2595"/>
    <w:rsid w:val="009B2D07"/>
    <w:rsid w:val="009B4596"/>
    <w:rsid w:val="009C4019"/>
    <w:rsid w:val="009C5FF1"/>
    <w:rsid w:val="009E6180"/>
    <w:rsid w:val="00A00AAC"/>
    <w:rsid w:val="00A26EE3"/>
    <w:rsid w:val="00A33885"/>
    <w:rsid w:val="00A4503A"/>
    <w:rsid w:val="00A503FF"/>
    <w:rsid w:val="00A509DD"/>
    <w:rsid w:val="00AD2A4B"/>
    <w:rsid w:val="00B16A68"/>
    <w:rsid w:val="00B37521"/>
    <w:rsid w:val="00B43D0B"/>
    <w:rsid w:val="00B46232"/>
    <w:rsid w:val="00B926E3"/>
    <w:rsid w:val="00BA40E6"/>
    <w:rsid w:val="00BB112C"/>
    <w:rsid w:val="00BC0856"/>
    <w:rsid w:val="00BC2C1A"/>
    <w:rsid w:val="00BC78B9"/>
    <w:rsid w:val="00BD40C2"/>
    <w:rsid w:val="00BF48CE"/>
    <w:rsid w:val="00C14262"/>
    <w:rsid w:val="00C21492"/>
    <w:rsid w:val="00C56A4A"/>
    <w:rsid w:val="00C7176F"/>
    <w:rsid w:val="00C95EB0"/>
    <w:rsid w:val="00CA6C23"/>
    <w:rsid w:val="00CB1922"/>
    <w:rsid w:val="00CD580B"/>
    <w:rsid w:val="00D24852"/>
    <w:rsid w:val="00D265CC"/>
    <w:rsid w:val="00D32FE1"/>
    <w:rsid w:val="00D3504C"/>
    <w:rsid w:val="00D366D1"/>
    <w:rsid w:val="00D73278"/>
    <w:rsid w:val="00E24312"/>
    <w:rsid w:val="00E31082"/>
    <w:rsid w:val="00E344D0"/>
    <w:rsid w:val="00E34509"/>
    <w:rsid w:val="00E549F9"/>
    <w:rsid w:val="00E917EE"/>
    <w:rsid w:val="00ED3917"/>
    <w:rsid w:val="00EF5199"/>
    <w:rsid w:val="00F01B33"/>
    <w:rsid w:val="00F159B9"/>
    <w:rsid w:val="00F32536"/>
    <w:rsid w:val="00F9772E"/>
    <w:rsid w:val="00FB59EC"/>
    <w:rsid w:val="00FC5662"/>
    <w:rsid w:val="00FD3A66"/>
    <w:rsid w:val="00FD6812"/>
    <w:rsid w:val="00FE6D82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37521"/>
    <w:rPr>
      <w:sz w:val="24"/>
      <w:szCs w:val="24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B37521"/>
    <w:pPr>
      <w:spacing w:before="100" w:beforeAutospacing="1" w:after="100" w:afterAutospacing="1"/>
    </w:pPr>
    <w:rPr>
      <w:lang w:val="lt-LT"/>
    </w:rPr>
  </w:style>
  <w:style w:type="character" w:styleId="Grietas">
    <w:name w:val="Strong"/>
    <w:qFormat/>
    <w:rsid w:val="00B37521"/>
    <w:rPr>
      <w:b/>
      <w:bCs/>
    </w:rPr>
  </w:style>
  <w:style w:type="paragraph" w:styleId="Debesliotekstas">
    <w:name w:val="Balloon Text"/>
    <w:basedOn w:val="prastasis"/>
    <w:link w:val="DebesliotekstasDiagrama"/>
    <w:rsid w:val="00A00A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00AAC"/>
    <w:rPr>
      <w:rFonts w:ascii="Tahoma" w:hAnsi="Tahoma" w:cs="Tahoma"/>
      <w:sz w:val="16"/>
      <w:szCs w:val="16"/>
      <w:lang w:val="en-GB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37521"/>
    <w:rPr>
      <w:sz w:val="24"/>
      <w:szCs w:val="24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B37521"/>
    <w:pPr>
      <w:spacing w:before="100" w:beforeAutospacing="1" w:after="100" w:afterAutospacing="1"/>
    </w:pPr>
    <w:rPr>
      <w:lang w:val="lt-LT"/>
    </w:rPr>
  </w:style>
  <w:style w:type="character" w:styleId="Grietas">
    <w:name w:val="Strong"/>
    <w:qFormat/>
    <w:rsid w:val="00B37521"/>
    <w:rPr>
      <w:b/>
      <w:bCs/>
    </w:rPr>
  </w:style>
  <w:style w:type="paragraph" w:styleId="Debesliotekstas">
    <w:name w:val="Balloon Text"/>
    <w:basedOn w:val="prastasis"/>
    <w:link w:val="DebesliotekstasDiagrama"/>
    <w:rsid w:val="00A00A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00AAC"/>
    <w:rPr>
      <w:rFonts w:ascii="Tahoma" w:hAnsi="Tahoma" w:cs="Tahoma"/>
      <w:sz w:val="16"/>
      <w:szCs w:val="16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PASAULIO LIETUVIŲ BENDRUOMENĖS XIV SEIMO NUTARIMAS DĖL ATSTOVŲ Į PLB IR SEIMO KOMISIJĄ DELEGAVIMO</vt:lpstr>
      <vt:lpstr>PASAULIO LIETUVIŲ BENDRUOMENĖS XIV SEIMO NUTARIMAS DĖL ATSTOVŲ Į PLB IR SEIMO KOMISIJĄ DELEGAVIMO</vt:lpstr>
    </vt:vector>
  </TitlesOfParts>
  <Company>Deftones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PASAULIO LIETUVIŲ BENDRUOMENĖS XIV SEIMO NUTARIMAS DĖL ATSTOVŲ Į PLB IR SEIMO KOMISIJĄ DELEGAVIMO</dc:title>
  <dc:creator>Ruta</dc:creator>
  <cp:lastModifiedBy>GRYBAITĖ Virginija</cp:lastModifiedBy>
  <cp:revision>5</cp:revision>
  <cp:lastPrinted>2015-07-17T13:51:00Z</cp:lastPrinted>
  <dcterms:created xsi:type="dcterms:W3CDTF">2015-07-17T09:13:00Z</dcterms:created>
  <dcterms:modified xsi:type="dcterms:W3CDTF">2015-07-17T14:08:00Z</dcterms:modified>
</cp:coreProperties>
</file>